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rPr>
          <w:rFonts w:ascii="Times New Roman" w:hAnsi="Times New Roman" w:eastAsia="仿宋_GB2312" w:cs="Times New Roman"/>
          <w:b/>
          <w:sz w:val="32"/>
          <w:szCs w:val="32"/>
        </w:rPr>
      </w:pPr>
      <w:bookmarkStart w:id="0" w:name="_GoBack"/>
      <w:bookmarkEnd w:id="0"/>
      <w:r>
        <w:rPr>
          <w:rFonts w:ascii="Times New Roman" w:hAnsi="Times New Roman" w:eastAsia="仿宋_GB2312" w:cs="Times New Roman"/>
          <w:b/>
          <w:sz w:val="32"/>
          <w:szCs w:val="32"/>
        </w:rPr>
        <w:t>附件</w:t>
      </w:r>
    </w:p>
    <w:p>
      <w:pPr>
        <w:spacing w:line="480" w:lineRule="auto"/>
        <w:jc w:val="center"/>
        <w:rPr>
          <w:rFonts w:ascii="Times New Roman" w:hAnsi="Times New Roman" w:eastAsia="仿宋_GB2312" w:cs="Times New Roman"/>
          <w:b/>
          <w:sz w:val="32"/>
          <w:szCs w:val="32"/>
        </w:rPr>
      </w:pPr>
      <w:r>
        <w:rPr>
          <w:rFonts w:ascii="Times New Roman" w:hAnsi="Times New Roman" w:eastAsia="仿宋_GB2312" w:cs="Times New Roman"/>
          <w:b/>
          <w:sz w:val="32"/>
          <w:szCs w:val="32"/>
        </w:rPr>
        <w:t>水利部黄河流域水治理与水安全重点实验室2022年度研究基金立项项目</w:t>
      </w: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6"/>
        <w:gridCol w:w="7943"/>
        <w:gridCol w:w="1273"/>
        <w:gridCol w:w="2268"/>
        <w:gridCol w:w="18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288" w:type="pct"/>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b/>
                <w:bCs/>
                <w:color w:val="000000"/>
                <w:kern w:val="0"/>
                <w:sz w:val="22"/>
              </w:rPr>
              <w:t>序号</w:t>
            </w:r>
          </w:p>
        </w:tc>
        <w:tc>
          <w:tcPr>
            <w:tcW w:w="2802" w:type="pct"/>
            <w:shd w:val="clear" w:color="auto" w:fill="auto"/>
            <w:vAlign w:val="center"/>
          </w:tcPr>
          <w:p>
            <w:pPr>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b/>
                <w:bCs/>
                <w:color w:val="000000"/>
                <w:kern w:val="0"/>
                <w:sz w:val="22"/>
              </w:rPr>
              <w:t>项目名称</w:t>
            </w:r>
          </w:p>
        </w:tc>
        <w:tc>
          <w:tcPr>
            <w:tcW w:w="449" w:type="pct"/>
            <w:shd w:val="clear" w:color="auto" w:fill="auto"/>
            <w:noWrap/>
            <w:vAlign w:val="center"/>
          </w:tcPr>
          <w:p>
            <w:pPr>
              <w:widowControl/>
              <w:spacing w:line="360" w:lineRule="auto"/>
              <w:jc w:val="center"/>
              <w:rPr>
                <w:rFonts w:ascii="Times New Roman" w:hAnsi="Times New Roman" w:eastAsia="宋体" w:cs="Times New Roman"/>
                <w:b/>
                <w:bCs/>
                <w:color w:val="000000"/>
                <w:kern w:val="0"/>
                <w:sz w:val="22"/>
              </w:rPr>
            </w:pPr>
            <w:r>
              <w:rPr>
                <w:rFonts w:ascii="Times New Roman" w:hAnsi="Times New Roman" w:eastAsia="宋体" w:cs="Times New Roman"/>
                <w:b/>
                <w:bCs/>
                <w:color w:val="000000"/>
                <w:kern w:val="0"/>
                <w:sz w:val="22"/>
              </w:rPr>
              <w:t>申请人</w:t>
            </w:r>
          </w:p>
        </w:tc>
        <w:tc>
          <w:tcPr>
            <w:tcW w:w="800" w:type="pct"/>
            <w:shd w:val="clear" w:color="auto" w:fill="auto"/>
            <w:noWrap/>
            <w:vAlign w:val="center"/>
          </w:tcPr>
          <w:p>
            <w:pPr>
              <w:widowControl/>
              <w:spacing w:line="360" w:lineRule="auto"/>
              <w:jc w:val="center"/>
              <w:rPr>
                <w:rFonts w:ascii="Times New Roman" w:hAnsi="Times New Roman" w:eastAsia="宋体" w:cs="Times New Roman"/>
                <w:b/>
                <w:bCs/>
                <w:color w:val="000000"/>
                <w:kern w:val="0"/>
                <w:sz w:val="22"/>
              </w:rPr>
            </w:pPr>
            <w:r>
              <w:rPr>
                <w:rFonts w:ascii="Times New Roman" w:hAnsi="Times New Roman" w:eastAsia="宋体" w:cs="Times New Roman"/>
                <w:b/>
                <w:bCs/>
                <w:color w:val="000000"/>
                <w:kern w:val="0"/>
                <w:sz w:val="22"/>
              </w:rPr>
              <w:t>依托单位</w:t>
            </w:r>
          </w:p>
        </w:tc>
        <w:tc>
          <w:tcPr>
            <w:tcW w:w="661" w:type="pct"/>
            <w:shd w:val="clear" w:color="auto" w:fill="auto"/>
            <w:vAlign w:val="center"/>
          </w:tcPr>
          <w:p>
            <w:pPr>
              <w:widowControl/>
              <w:spacing w:line="360" w:lineRule="auto"/>
              <w:jc w:val="center"/>
              <w:rPr>
                <w:rFonts w:ascii="Times New Roman" w:hAnsi="Times New Roman" w:eastAsia="宋体" w:cs="Times New Roman"/>
                <w:b/>
                <w:bCs/>
                <w:color w:val="000000"/>
                <w:kern w:val="0"/>
                <w:sz w:val="22"/>
              </w:rPr>
            </w:pPr>
            <w:r>
              <w:rPr>
                <w:rFonts w:ascii="Times New Roman" w:hAnsi="Times New Roman" w:eastAsia="宋体" w:cs="Times New Roman"/>
                <w:b/>
                <w:bCs/>
                <w:color w:val="000000"/>
                <w:kern w:val="0"/>
                <w:sz w:val="22"/>
              </w:rPr>
              <w:t>资助金额（万元）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288" w:type="pct"/>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w:t>
            </w:r>
          </w:p>
        </w:tc>
        <w:tc>
          <w:tcPr>
            <w:tcW w:w="2802" w:type="pct"/>
            <w:shd w:val="clear" w:color="auto" w:fill="auto"/>
            <w:vAlign w:val="center"/>
          </w:tcPr>
          <w:p>
            <w:pPr>
              <w:spacing w:line="360" w:lineRule="auto"/>
              <w:jc w:val="left"/>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黄河下游大堤临河侧生态防护林防冲促淤效果研究</w:t>
            </w:r>
          </w:p>
        </w:tc>
        <w:tc>
          <w:tcPr>
            <w:tcW w:w="449" w:type="pct"/>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张晓雷</w:t>
            </w:r>
          </w:p>
        </w:tc>
        <w:tc>
          <w:tcPr>
            <w:tcW w:w="800" w:type="pct"/>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华北水利水电大学</w:t>
            </w:r>
          </w:p>
        </w:tc>
        <w:tc>
          <w:tcPr>
            <w:tcW w:w="661" w:type="pct"/>
            <w:shd w:val="clear" w:color="auto" w:fill="auto"/>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288" w:type="pct"/>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w:t>
            </w:r>
          </w:p>
        </w:tc>
        <w:tc>
          <w:tcPr>
            <w:tcW w:w="2802" w:type="pct"/>
            <w:shd w:val="clear" w:color="auto" w:fill="auto"/>
            <w:vAlign w:val="center"/>
          </w:tcPr>
          <w:p>
            <w:pPr>
              <w:spacing w:line="360" w:lineRule="auto"/>
              <w:jc w:val="left"/>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黄河水库拦门沙形成机理与破除方法研究</w:t>
            </w:r>
          </w:p>
        </w:tc>
        <w:tc>
          <w:tcPr>
            <w:tcW w:w="449" w:type="pct"/>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杨  晨</w:t>
            </w:r>
          </w:p>
        </w:tc>
        <w:tc>
          <w:tcPr>
            <w:tcW w:w="800" w:type="pct"/>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华北水利水电大学</w:t>
            </w:r>
          </w:p>
        </w:tc>
        <w:tc>
          <w:tcPr>
            <w:tcW w:w="661" w:type="pct"/>
            <w:shd w:val="clear" w:color="auto" w:fill="auto"/>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288" w:type="pct"/>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3</w:t>
            </w:r>
          </w:p>
        </w:tc>
        <w:tc>
          <w:tcPr>
            <w:tcW w:w="2802" w:type="pct"/>
            <w:shd w:val="clear" w:color="auto" w:fill="auto"/>
            <w:vAlign w:val="center"/>
          </w:tcPr>
          <w:p>
            <w:pPr>
              <w:spacing w:line="360" w:lineRule="auto"/>
              <w:jc w:val="left"/>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新水沙条件下黄河冲积型河段演变的动力学机理研究——以宁蒙河段为例</w:t>
            </w:r>
          </w:p>
        </w:tc>
        <w:tc>
          <w:tcPr>
            <w:tcW w:w="449" w:type="pct"/>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陈娅玲</w:t>
            </w:r>
          </w:p>
        </w:tc>
        <w:tc>
          <w:tcPr>
            <w:tcW w:w="800" w:type="pct"/>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兰州大学</w:t>
            </w:r>
          </w:p>
        </w:tc>
        <w:tc>
          <w:tcPr>
            <w:tcW w:w="661" w:type="pct"/>
            <w:shd w:val="clear" w:color="auto" w:fill="auto"/>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288" w:type="pct"/>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4</w:t>
            </w:r>
          </w:p>
        </w:tc>
        <w:tc>
          <w:tcPr>
            <w:tcW w:w="2802" w:type="pct"/>
            <w:shd w:val="clear" w:color="auto" w:fill="auto"/>
            <w:vAlign w:val="center"/>
          </w:tcPr>
          <w:p>
            <w:pPr>
              <w:spacing w:line="360" w:lineRule="auto"/>
              <w:jc w:val="left"/>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水平地震作用下地下浅埋输水隧道与地表结构耦合动力响应特征及减震优化设计</w:t>
            </w:r>
          </w:p>
        </w:tc>
        <w:tc>
          <w:tcPr>
            <w:tcW w:w="449" w:type="pct"/>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刘  波</w:t>
            </w:r>
          </w:p>
        </w:tc>
        <w:tc>
          <w:tcPr>
            <w:tcW w:w="800" w:type="pct"/>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东南大学</w:t>
            </w:r>
          </w:p>
        </w:tc>
        <w:tc>
          <w:tcPr>
            <w:tcW w:w="661" w:type="pct"/>
            <w:shd w:val="clear" w:color="auto" w:fill="auto"/>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288" w:type="pct"/>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5</w:t>
            </w:r>
          </w:p>
        </w:tc>
        <w:tc>
          <w:tcPr>
            <w:tcW w:w="2802" w:type="pct"/>
            <w:shd w:val="clear" w:color="auto" w:fill="auto"/>
            <w:vAlign w:val="center"/>
          </w:tcPr>
          <w:p>
            <w:pPr>
              <w:spacing w:line="360" w:lineRule="auto"/>
              <w:jc w:val="left"/>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基于岩碴粒径全息特征的TBM掘进效能评价与优化研究</w:t>
            </w:r>
          </w:p>
        </w:tc>
        <w:tc>
          <w:tcPr>
            <w:tcW w:w="449" w:type="pct"/>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闫长斌</w:t>
            </w:r>
          </w:p>
        </w:tc>
        <w:tc>
          <w:tcPr>
            <w:tcW w:w="800" w:type="pct"/>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郑州大学</w:t>
            </w:r>
          </w:p>
        </w:tc>
        <w:tc>
          <w:tcPr>
            <w:tcW w:w="661" w:type="pct"/>
            <w:shd w:val="clear" w:color="auto" w:fill="auto"/>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288" w:type="pct"/>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6</w:t>
            </w:r>
          </w:p>
        </w:tc>
        <w:tc>
          <w:tcPr>
            <w:tcW w:w="2802" w:type="pct"/>
            <w:shd w:val="clear" w:color="auto" w:fill="auto"/>
            <w:vAlign w:val="center"/>
          </w:tcPr>
          <w:p>
            <w:pPr>
              <w:spacing w:line="360" w:lineRule="auto"/>
              <w:jc w:val="left"/>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基于复杂系统耦合协调的黄河河南供水区水土资源联合调控</w:t>
            </w:r>
          </w:p>
        </w:tc>
        <w:tc>
          <w:tcPr>
            <w:tcW w:w="449" w:type="pct"/>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王慧亮</w:t>
            </w:r>
          </w:p>
        </w:tc>
        <w:tc>
          <w:tcPr>
            <w:tcW w:w="800" w:type="pct"/>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郑州大学</w:t>
            </w:r>
          </w:p>
        </w:tc>
        <w:tc>
          <w:tcPr>
            <w:tcW w:w="661" w:type="pct"/>
            <w:shd w:val="clear" w:color="auto" w:fill="auto"/>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288" w:type="pct"/>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7</w:t>
            </w:r>
          </w:p>
        </w:tc>
        <w:tc>
          <w:tcPr>
            <w:tcW w:w="2802" w:type="pct"/>
            <w:shd w:val="clear" w:color="auto" w:fill="auto"/>
            <w:vAlign w:val="center"/>
          </w:tcPr>
          <w:p>
            <w:pPr>
              <w:spacing w:line="360" w:lineRule="auto"/>
              <w:jc w:val="left"/>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健康膳食需求导向下黄河流域农业水土资源优化配置研究</w:t>
            </w:r>
          </w:p>
        </w:tc>
        <w:tc>
          <w:tcPr>
            <w:tcW w:w="449" w:type="pct"/>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陈  敏</w:t>
            </w:r>
          </w:p>
        </w:tc>
        <w:tc>
          <w:tcPr>
            <w:tcW w:w="800" w:type="pct"/>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清华大学</w:t>
            </w:r>
          </w:p>
        </w:tc>
        <w:tc>
          <w:tcPr>
            <w:tcW w:w="661" w:type="pct"/>
            <w:shd w:val="clear" w:color="auto" w:fill="auto"/>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288" w:type="pct"/>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w:t>
            </w:r>
          </w:p>
        </w:tc>
        <w:tc>
          <w:tcPr>
            <w:tcW w:w="2802" w:type="pct"/>
            <w:shd w:val="clear" w:color="auto" w:fill="auto"/>
            <w:vAlign w:val="center"/>
          </w:tcPr>
          <w:p>
            <w:pPr>
              <w:spacing w:line="360" w:lineRule="auto"/>
              <w:jc w:val="left"/>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黄河流域水文过程时空分异特征和演变规律</w:t>
            </w:r>
          </w:p>
        </w:tc>
        <w:tc>
          <w:tcPr>
            <w:tcW w:w="449" w:type="pct"/>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李  毅</w:t>
            </w:r>
          </w:p>
        </w:tc>
        <w:tc>
          <w:tcPr>
            <w:tcW w:w="800" w:type="pct"/>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西北农林科技大学</w:t>
            </w:r>
          </w:p>
        </w:tc>
        <w:tc>
          <w:tcPr>
            <w:tcW w:w="661" w:type="pct"/>
            <w:shd w:val="clear" w:color="auto" w:fill="auto"/>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288" w:type="pct"/>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9</w:t>
            </w:r>
          </w:p>
        </w:tc>
        <w:tc>
          <w:tcPr>
            <w:tcW w:w="2802" w:type="pct"/>
            <w:shd w:val="clear" w:color="auto" w:fill="auto"/>
            <w:vAlign w:val="center"/>
          </w:tcPr>
          <w:p>
            <w:pPr>
              <w:spacing w:line="360" w:lineRule="auto"/>
              <w:jc w:val="left"/>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引黄灌区水体氮素溯源及污染调控措施</w:t>
            </w:r>
          </w:p>
        </w:tc>
        <w:tc>
          <w:tcPr>
            <w:tcW w:w="449" w:type="pct"/>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王春颖</w:t>
            </w:r>
          </w:p>
        </w:tc>
        <w:tc>
          <w:tcPr>
            <w:tcW w:w="800" w:type="pct"/>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华北水利水电大学</w:t>
            </w:r>
          </w:p>
        </w:tc>
        <w:tc>
          <w:tcPr>
            <w:tcW w:w="661" w:type="pct"/>
            <w:shd w:val="clear" w:color="auto" w:fill="auto"/>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288" w:type="pct"/>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10</w:t>
            </w:r>
          </w:p>
        </w:tc>
        <w:tc>
          <w:tcPr>
            <w:tcW w:w="2802" w:type="pct"/>
            <w:shd w:val="clear" w:color="auto" w:fill="auto"/>
            <w:vAlign w:val="center"/>
          </w:tcPr>
          <w:p>
            <w:pPr>
              <w:spacing w:line="360" w:lineRule="auto"/>
              <w:jc w:val="left"/>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铁硫化物自养反硝化人工湿地深度脱氮效能及氮素迁移转化规律</w:t>
            </w:r>
          </w:p>
        </w:tc>
        <w:tc>
          <w:tcPr>
            <w:tcW w:w="449" w:type="pct"/>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高镜清</w:t>
            </w:r>
          </w:p>
        </w:tc>
        <w:tc>
          <w:tcPr>
            <w:tcW w:w="800" w:type="pct"/>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郑州大学</w:t>
            </w:r>
          </w:p>
        </w:tc>
        <w:tc>
          <w:tcPr>
            <w:tcW w:w="661" w:type="pct"/>
            <w:shd w:val="clear" w:color="auto" w:fill="auto"/>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10.0</w:t>
            </w:r>
          </w:p>
        </w:tc>
      </w:tr>
    </w:tbl>
    <w:p>
      <w:pPr>
        <w:spacing w:line="480" w:lineRule="auto"/>
        <w:rPr>
          <w:rFonts w:ascii="Times New Roman" w:hAnsi="Times New Roman" w:eastAsia="仿宋_GB2312" w:cs="Times New Roman"/>
          <w:sz w:val="32"/>
          <w:szCs w:val="32"/>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708E"/>
    <w:rsid w:val="00005212"/>
    <w:rsid w:val="000265EE"/>
    <w:rsid w:val="00030700"/>
    <w:rsid w:val="00037BED"/>
    <w:rsid w:val="000412B5"/>
    <w:rsid w:val="00066924"/>
    <w:rsid w:val="000C3C18"/>
    <w:rsid w:val="000C52AC"/>
    <w:rsid w:val="00103CEE"/>
    <w:rsid w:val="00130B6D"/>
    <w:rsid w:val="00185CD9"/>
    <w:rsid w:val="001A2059"/>
    <w:rsid w:val="001C4CF2"/>
    <w:rsid w:val="00233D73"/>
    <w:rsid w:val="00275D41"/>
    <w:rsid w:val="002A5171"/>
    <w:rsid w:val="002D4544"/>
    <w:rsid w:val="002E7600"/>
    <w:rsid w:val="00300B52"/>
    <w:rsid w:val="00306388"/>
    <w:rsid w:val="00314681"/>
    <w:rsid w:val="00320601"/>
    <w:rsid w:val="00365F7E"/>
    <w:rsid w:val="00393A56"/>
    <w:rsid w:val="003E4220"/>
    <w:rsid w:val="004040A4"/>
    <w:rsid w:val="0041657F"/>
    <w:rsid w:val="004521B4"/>
    <w:rsid w:val="004578B8"/>
    <w:rsid w:val="0046375F"/>
    <w:rsid w:val="004A0841"/>
    <w:rsid w:val="004D4534"/>
    <w:rsid w:val="005213E4"/>
    <w:rsid w:val="00535470"/>
    <w:rsid w:val="00597448"/>
    <w:rsid w:val="005A5AA0"/>
    <w:rsid w:val="005F2411"/>
    <w:rsid w:val="0060063A"/>
    <w:rsid w:val="00617664"/>
    <w:rsid w:val="00645616"/>
    <w:rsid w:val="00655DF0"/>
    <w:rsid w:val="00681252"/>
    <w:rsid w:val="006A463A"/>
    <w:rsid w:val="006B2E07"/>
    <w:rsid w:val="006D4EFE"/>
    <w:rsid w:val="006E1119"/>
    <w:rsid w:val="0072556B"/>
    <w:rsid w:val="00735317"/>
    <w:rsid w:val="0073708E"/>
    <w:rsid w:val="00765B3A"/>
    <w:rsid w:val="007670D7"/>
    <w:rsid w:val="0077089E"/>
    <w:rsid w:val="007B44F9"/>
    <w:rsid w:val="007B6D07"/>
    <w:rsid w:val="007C5317"/>
    <w:rsid w:val="007E1E60"/>
    <w:rsid w:val="00820920"/>
    <w:rsid w:val="00825EC5"/>
    <w:rsid w:val="00830777"/>
    <w:rsid w:val="00871E7A"/>
    <w:rsid w:val="008A1F5F"/>
    <w:rsid w:val="008A6FFE"/>
    <w:rsid w:val="008B492A"/>
    <w:rsid w:val="008D57B4"/>
    <w:rsid w:val="008D6A7E"/>
    <w:rsid w:val="008E4F9E"/>
    <w:rsid w:val="008F63E0"/>
    <w:rsid w:val="00907F52"/>
    <w:rsid w:val="00926A14"/>
    <w:rsid w:val="00931A4E"/>
    <w:rsid w:val="00940F17"/>
    <w:rsid w:val="00954BD3"/>
    <w:rsid w:val="009A43C9"/>
    <w:rsid w:val="009D4591"/>
    <w:rsid w:val="009D4B41"/>
    <w:rsid w:val="00A029CF"/>
    <w:rsid w:val="00A103BC"/>
    <w:rsid w:val="00A3252F"/>
    <w:rsid w:val="00A65A0C"/>
    <w:rsid w:val="00A67050"/>
    <w:rsid w:val="00A806C6"/>
    <w:rsid w:val="00AE5068"/>
    <w:rsid w:val="00AE5869"/>
    <w:rsid w:val="00B06988"/>
    <w:rsid w:val="00B16299"/>
    <w:rsid w:val="00B247EE"/>
    <w:rsid w:val="00B94457"/>
    <w:rsid w:val="00BB3033"/>
    <w:rsid w:val="00C12470"/>
    <w:rsid w:val="00C20D15"/>
    <w:rsid w:val="00C226AA"/>
    <w:rsid w:val="00C45AE5"/>
    <w:rsid w:val="00C74DF3"/>
    <w:rsid w:val="00C87A9A"/>
    <w:rsid w:val="00CA29D9"/>
    <w:rsid w:val="00CA767A"/>
    <w:rsid w:val="00D358BF"/>
    <w:rsid w:val="00D75E4D"/>
    <w:rsid w:val="00D86323"/>
    <w:rsid w:val="00D927AC"/>
    <w:rsid w:val="00DA0FDB"/>
    <w:rsid w:val="00DB52CF"/>
    <w:rsid w:val="00DD6E95"/>
    <w:rsid w:val="00DF1A7F"/>
    <w:rsid w:val="00DF1D81"/>
    <w:rsid w:val="00E2734C"/>
    <w:rsid w:val="00E30DCF"/>
    <w:rsid w:val="00E3106A"/>
    <w:rsid w:val="00E802FB"/>
    <w:rsid w:val="00E85E23"/>
    <w:rsid w:val="00EB1371"/>
    <w:rsid w:val="00EB6FB7"/>
    <w:rsid w:val="00EE0CC8"/>
    <w:rsid w:val="00F41B9C"/>
    <w:rsid w:val="00F55B50"/>
    <w:rsid w:val="00F85E0D"/>
    <w:rsid w:val="00F94879"/>
    <w:rsid w:val="00FA6C4D"/>
    <w:rsid w:val="00FB3037"/>
    <w:rsid w:val="00FC7E25"/>
    <w:rsid w:val="00FD15A4"/>
    <w:rsid w:val="00FF19AA"/>
    <w:rsid w:val="4A6A50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uiPriority w:val="99"/>
    <w:rPr>
      <w:sz w:val="18"/>
      <w:szCs w:val="18"/>
    </w:rPr>
  </w:style>
  <w:style w:type="paragraph" w:styleId="3">
    <w:name w:val="footer"/>
    <w:basedOn w:val="1"/>
    <w:link w:val="10"/>
    <w:unhideWhenUsed/>
    <w:uiPriority w:val="99"/>
    <w:pPr>
      <w:tabs>
        <w:tab w:val="center" w:pos="4153"/>
        <w:tab w:val="right" w:pos="8306"/>
      </w:tabs>
      <w:snapToGrid w:val="0"/>
      <w:jc w:val="left"/>
    </w:pPr>
    <w:rPr>
      <w:sz w:val="18"/>
      <w:szCs w:val="18"/>
    </w:rPr>
  </w:style>
  <w:style w:type="paragraph" w:styleId="4">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Hyperlink"/>
    <w:basedOn w:val="7"/>
    <w:unhideWhenUsed/>
    <w:uiPriority w:val="99"/>
    <w:rPr>
      <w:color w:val="0000FF" w:themeColor="hyperlink"/>
      <w:u w:val="single"/>
      <w14:textFill>
        <w14:solidFill>
          <w14:schemeClr w14:val="hlink"/>
        </w14:solidFill>
      </w14:textFill>
    </w:rPr>
  </w:style>
  <w:style w:type="character" w:customStyle="1" w:styleId="9">
    <w:name w:val="页眉 Char"/>
    <w:basedOn w:val="7"/>
    <w:link w:val="4"/>
    <w:uiPriority w:val="99"/>
    <w:rPr>
      <w:sz w:val="18"/>
      <w:szCs w:val="18"/>
    </w:rPr>
  </w:style>
  <w:style w:type="character" w:customStyle="1" w:styleId="10">
    <w:name w:val="页脚 Char"/>
    <w:basedOn w:val="7"/>
    <w:link w:val="3"/>
    <w:uiPriority w:val="99"/>
    <w:rPr>
      <w:sz w:val="18"/>
      <w:szCs w:val="18"/>
    </w:rPr>
  </w:style>
  <w:style w:type="paragraph" w:customStyle="1" w:styleId="11">
    <w:name w:val="Revision"/>
    <w:hidden/>
    <w:semiHidden/>
    <w:uiPriority w:val="99"/>
    <w:rPr>
      <w:rFonts w:asciiTheme="minorHAnsi" w:hAnsiTheme="minorHAnsi" w:eastAsiaTheme="minorEastAsia" w:cstheme="minorBidi"/>
      <w:kern w:val="2"/>
      <w:sz w:val="21"/>
      <w:szCs w:val="22"/>
      <w:lang w:val="en-US" w:eastAsia="zh-CN" w:bidi="ar-SA"/>
    </w:rPr>
  </w:style>
  <w:style w:type="character" w:customStyle="1" w:styleId="12">
    <w:name w:val="批注框文本 Char"/>
    <w:basedOn w:val="7"/>
    <w:link w:val="2"/>
    <w:semiHidden/>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27E7D21-9831-425E-9AF5-D40E92A9A6EF}">
  <ds:schemaRefs/>
</ds:datastoreItem>
</file>

<file path=docProps/app.xml><?xml version="1.0" encoding="utf-8"?>
<Properties xmlns="http://schemas.openxmlformats.org/officeDocument/2006/extended-properties" xmlns:vt="http://schemas.openxmlformats.org/officeDocument/2006/docPropsVTypes">
  <Template>Normal.dotm</Template>
  <Pages>2</Pages>
  <Words>137</Words>
  <Characters>786</Characters>
  <Lines>6</Lines>
  <Paragraphs>1</Paragraphs>
  <TotalTime>704</TotalTime>
  <ScaleCrop>false</ScaleCrop>
  <LinksUpToDate>false</LinksUpToDate>
  <CharactersWithSpaces>922</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2021-07-02T00:23:00Z</dcterms:created>
  <dc:creator>宋志宇</dc:creator>
  <cp:lastModifiedBy>wangyujing</cp:lastModifiedBy>
  <dcterms:modified xsi:type="dcterms:W3CDTF">2022-08-12T03:11:44Z</dcterms:modified>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