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ascii="Times New Roman" w:hAnsi="Times New Roman" w:eastAsia="仿宋_GB2312" w:cs="Times New Roman"/>
          <w:b/>
          <w:sz w:val="32"/>
          <w:szCs w:val="32"/>
        </w:rPr>
      </w:pPr>
      <w:bookmarkStart w:id="0" w:name="_GoBack"/>
      <w:bookmarkEnd w:id="0"/>
      <w:r>
        <w:rPr>
          <w:rFonts w:ascii="Times New Roman" w:hAnsi="Times New Roman" w:eastAsia="仿宋_GB2312" w:cs="Times New Roman"/>
          <w:b/>
          <w:sz w:val="32"/>
          <w:szCs w:val="32"/>
        </w:rPr>
        <w:t>附件</w:t>
      </w:r>
    </w:p>
    <w:p>
      <w:pPr>
        <w:spacing w:line="480" w:lineRule="auto"/>
        <w:jc w:val="center"/>
        <w:rPr>
          <w:rFonts w:ascii="Times New Roman" w:hAnsi="Times New Roman" w:eastAsia="仿宋_GB2312" w:cs="Times New Roman"/>
          <w:b/>
          <w:sz w:val="32"/>
          <w:szCs w:val="32"/>
        </w:rPr>
      </w:pPr>
      <w:r>
        <w:rPr>
          <w:rFonts w:ascii="Times New Roman" w:hAnsi="Times New Roman" w:eastAsia="仿宋_GB2312" w:cs="Times New Roman"/>
          <w:b/>
          <w:sz w:val="32"/>
          <w:szCs w:val="32"/>
        </w:rPr>
        <w:t>水利部黄河流域水治理与水安全重点实验室202</w:t>
      </w:r>
      <w:r>
        <w:rPr>
          <w:rFonts w:hint="eastAsia" w:ascii="Times New Roman" w:hAnsi="Times New Roman" w:eastAsia="仿宋_GB2312" w:cs="Times New Roman"/>
          <w:b/>
          <w:sz w:val="32"/>
          <w:szCs w:val="32"/>
        </w:rPr>
        <w:t>3</w:t>
      </w:r>
      <w:r>
        <w:rPr>
          <w:rFonts w:ascii="Times New Roman" w:hAnsi="Times New Roman" w:eastAsia="仿宋_GB2312" w:cs="Times New Roman"/>
          <w:b/>
          <w:sz w:val="32"/>
          <w:szCs w:val="32"/>
        </w:rPr>
        <w:t>年度研究基金立项项目</w:t>
      </w:r>
    </w:p>
    <w:tbl>
      <w:tblPr>
        <w:tblStyle w:val="5"/>
        <w:tblW w:w="14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6561"/>
        <w:gridCol w:w="969"/>
        <w:gridCol w:w="4536"/>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58"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b/>
                <w:bCs/>
                <w:color w:val="000000"/>
                <w:kern w:val="0"/>
                <w:sz w:val="22"/>
              </w:rPr>
              <w:t>序号</w:t>
            </w:r>
          </w:p>
        </w:tc>
        <w:tc>
          <w:tcPr>
            <w:tcW w:w="6561" w:type="dxa"/>
            <w:shd w:val="clear" w:color="auto" w:fill="auto"/>
            <w:vAlign w:val="center"/>
          </w:tcPr>
          <w:p>
            <w:pPr>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b/>
                <w:bCs/>
                <w:color w:val="000000"/>
                <w:kern w:val="0"/>
                <w:sz w:val="22"/>
              </w:rPr>
              <w:t>项目名称</w:t>
            </w:r>
          </w:p>
        </w:tc>
        <w:tc>
          <w:tcPr>
            <w:tcW w:w="969" w:type="dxa"/>
            <w:shd w:val="clear" w:color="auto" w:fill="auto"/>
            <w:noWrap/>
            <w:vAlign w:val="center"/>
          </w:tcPr>
          <w:p>
            <w:pPr>
              <w:widowControl/>
              <w:spacing w:line="360" w:lineRule="auto"/>
              <w:jc w:val="center"/>
              <w:rPr>
                <w:rFonts w:ascii="Times New Roman" w:hAnsi="Times New Roman" w:eastAsia="宋体" w:cs="Times New Roman"/>
                <w:b/>
                <w:bCs/>
                <w:color w:val="000000"/>
                <w:kern w:val="0"/>
                <w:sz w:val="22"/>
              </w:rPr>
            </w:pPr>
            <w:r>
              <w:rPr>
                <w:rFonts w:ascii="Times New Roman" w:hAnsi="Times New Roman" w:eastAsia="宋体" w:cs="Times New Roman"/>
                <w:b/>
                <w:bCs/>
                <w:color w:val="000000"/>
                <w:kern w:val="0"/>
                <w:sz w:val="22"/>
              </w:rPr>
              <w:t>申请人</w:t>
            </w:r>
          </w:p>
        </w:tc>
        <w:tc>
          <w:tcPr>
            <w:tcW w:w="4536" w:type="dxa"/>
            <w:shd w:val="clear" w:color="auto" w:fill="auto"/>
            <w:noWrap/>
            <w:vAlign w:val="center"/>
          </w:tcPr>
          <w:p>
            <w:pPr>
              <w:widowControl/>
              <w:spacing w:line="360" w:lineRule="auto"/>
              <w:jc w:val="center"/>
              <w:rPr>
                <w:rFonts w:ascii="Times New Roman" w:hAnsi="Times New Roman" w:eastAsia="宋体" w:cs="Times New Roman"/>
                <w:b/>
                <w:bCs/>
                <w:color w:val="000000"/>
                <w:kern w:val="0"/>
                <w:sz w:val="22"/>
              </w:rPr>
            </w:pPr>
            <w:r>
              <w:rPr>
                <w:rFonts w:ascii="Times New Roman" w:hAnsi="Times New Roman" w:eastAsia="宋体" w:cs="Times New Roman"/>
                <w:b/>
                <w:bCs/>
                <w:color w:val="000000"/>
                <w:kern w:val="0"/>
                <w:sz w:val="22"/>
              </w:rPr>
              <w:t>依托单位</w:t>
            </w:r>
          </w:p>
        </w:tc>
        <w:tc>
          <w:tcPr>
            <w:tcW w:w="1843" w:type="dxa"/>
            <w:shd w:val="clear" w:color="auto" w:fill="auto"/>
            <w:vAlign w:val="center"/>
          </w:tcPr>
          <w:p>
            <w:pPr>
              <w:widowControl/>
              <w:spacing w:line="360" w:lineRule="auto"/>
              <w:jc w:val="center"/>
              <w:rPr>
                <w:rFonts w:ascii="Times New Roman" w:hAnsi="Times New Roman" w:eastAsia="宋体" w:cs="Times New Roman"/>
                <w:b/>
                <w:bCs/>
                <w:color w:val="000000"/>
                <w:kern w:val="0"/>
                <w:sz w:val="22"/>
              </w:rPr>
            </w:pPr>
            <w:r>
              <w:rPr>
                <w:rFonts w:ascii="Times New Roman" w:hAnsi="Times New Roman" w:eastAsia="宋体" w:cs="Times New Roman"/>
                <w:b/>
                <w:bCs/>
                <w:color w:val="000000"/>
                <w:kern w:val="0"/>
                <w:sz w:val="22"/>
              </w:rPr>
              <w:t>资助金额（万元）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58"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w:t>
            </w:r>
          </w:p>
        </w:tc>
        <w:tc>
          <w:tcPr>
            <w:tcW w:w="6561" w:type="dxa"/>
            <w:shd w:val="clear" w:color="auto" w:fill="auto"/>
          </w:tcPr>
          <w:p>
            <w:pPr>
              <w:jc w:val="left"/>
              <w:rPr>
                <w:rFonts w:ascii="Times New Roman" w:hAnsi="Times New Roman" w:eastAsia="宋体" w:cs="Times New Roman"/>
                <w:color w:val="000000"/>
                <w:kern w:val="0"/>
                <w:sz w:val="22"/>
              </w:rPr>
            </w:pPr>
            <w:r>
              <w:rPr>
                <w:rFonts w:hint="eastAsia" w:ascii="宋体" w:eastAsia="宋体" w:cs="宋体"/>
                <w:color w:val="000000"/>
                <w:kern w:val="0"/>
                <w:sz w:val="22"/>
              </w:rPr>
              <w:t>黄河泥沙微界面缺陷结构调控形成与强化水体新污染物原位去除机制研究</w:t>
            </w:r>
          </w:p>
        </w:tc>
        <w:tc>
          <w:tcPr>
            <w:tcW w:w="969"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eastAsia="宋体" w:cs="宋体"/>
                <w:color w:val="000000"/>
                <w:kern w:val="0"/>
                <w:sz w:val="22"/>
              </w:rPr>
              <w:t>张伟</w:t>
            </w:r>
          </w:p>
        </w:tc>
        <w:tc>
          <w:tcPr>
            <w:tcW w:w="4536"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eastAsia="宋体" w:cs="宋体"/>
                <w:color w:val="000000"/>
                <w:kern w:val="0"/>
                <w:sz w:val="22"/>
              </w:rPr>
              <w:t>郑州大学</w:t>
            </w:r>
          </w:p>
        </w:tc>
        <w:tc>
          <w:tcPr>
            <w:tcW w:w="1843" w:type="dxa"/>
            <w:shd w:val="clear" w:color="auto" w:fill="auto"/>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58"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w:t>
            </w:r>
          </w:p>
        </w:tc>
        <w:tc>
          <w:tcPr>
            <w:tcW w:w="6561" w:type="dxa"/>
            <w:shd w:val="clear" w:color="auto" w:fill="auto"/>
          </w:tcPr>
          <w:p>
            <w:pPr>
              <w:spacing w:line="360" w:lineRule="auto"/>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2G-NPR</w:t>
            </w:r>
            <w:r>
              <w:rPr>
                <w:rFonts w:hint="eastAsia" w:ascii="宋体" w:hAnsi="Times New Roman" w:eastAsia="宋体" w:cs="宋体"/>
                <w:color w:val="000000"/>
                <w:kern w:val="0"/>
                <w:sz w:val="22"/>
              </w:rPr>
              <w:t>锚杆超常力学性能及对软岩隧洞道稳定性控制机理研究</w:t>
            </w:r>
          </w:p>
        </w:tc>
        <w:tc>
          <w:tcPr>
            <w:tcW w:w="969"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朱淳</w:t>
            </w:r>
          </w:p>
        </w:tc>
        <w:tc>
          <w:tcPr>
            <w:tcW w:w="4536"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河海大学</w:t>
            </w:r>
          </w:p>
        </w:tc>
        <w:tc>
          <w:tcPr>
            <w:tcW w:w="1843" w:type="dxa"/>
            <w:shd w:val="clear" w:color="auto" w:fill="auto"/>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58"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3</w:t>
            </w:r>
          </w:p>
        </w:tc>
        <w:tc>
          <w:tcPr>
            <w:tcW w:w="6561" w:type="dxa"/>
            <w:shd w:val="clear" w:color="auto" w:fill="auto"/>
          </w:tcPr>
          <w:p>
            <w:pPr>
              <w:jc w:val="left"/>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基于围岩体非均质表征及</w:t>
            </w:r>
            <w:r>
              <w:rPr>
                <w:rFonts w:ascii="Times New Roman" w:hAnsi="Times New Roman" w:eastAsia="宋体" w:cs="Times New Roman"/>
                <w:color w:val="000000"/>
                <w:kern w:val="0"/>
                <w:sz w:val="22"/>
              </w:rPr>
              <w:t>SSD</w:t>
            </w:r>
            <w:r>
              <w:rPr>
                <w:rFonts w:hint="eastAsia" w:ascii="宋体" w:hAnsi="Times New Roman" w:eastAsia="宋体" w:cs="宋体"/>
                <w:color w:val="000000"/>
                <w:kern w:val="0"/>
                <w:sz w:val="22"/>
              </w:rPr>
              <w:t>耦合的深埋软岩输水隧洞形变机制与长期稳定性研究</w:t>
            </w:r>
          </w:p>
        </w:tc>
        <w:tc>
          <w:tcPr>
            <w:tcW w:w="969"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王涛</w:t>
            </w:r>
          </w:p>
        </w:tc>
        <w:tc>
          <w:tcPr>
            <w:tcW w:w="4536"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中国矿业大学</w:t>
            </w:r>
          </w:p>
        </w:tc>
        <w:tc>
          <w:tcPr>
            <w:tcW w:w="1843" w:type="dxa"/>
            <w:shd w:val="clear" w:color="auto" w:fill="auto"/>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58"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4</w:t>
            </w:r>
          </w:p>
        </w:tc>
        <w:tc>
          <w:tcPr>
            <w:tcW w:w="6561" w:type="dxa"/>
            <w:shd w:val="clear" w:color="auto" w:fill="auto"/>
          </w:tcPr>
          <w:p>
            <w:pPr>
              <w:spacing w:line="360" w:lineRule="auto"/>
              <w:jc w:val="left"/>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变化环境下河南省引黄受水区水资源安全保障关键技术研究</w:t>
            </w:r>
          </w:p>
        </w:tc>
        <w:tc>
          <w:tcPr>
            <w:tcW w:w="969"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张修宇</w:t>
            </w:r>
          </w:p>
        </w:tc>
        <w:tc>
          <w:tcPr>
            <w:tcW w:w="4536"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华北水利水电大学</w:t>
            </w:r>
          </w:p>
        </w:tc>
        <w:tc>
          <w:tcPr>
            <w:tcW w:w="1843" w:type="dxa"/>
            <w:shd w:val="clear" w:color="auto" w:fill="auto"/>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58"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5</w:t>
            </w:r>
          </w:p>
        </w:tc>
        <w:tc>
          <w:tcPr>
            <w:tcW w:w="6561" w:type="dxa"/>
            <w:shd w:val="clear" w:color="auto" w:fill="auto"/>
          </w:tcPr>
          <w:p>
            <w:pPr>
              <w:spacing w:line="360" w:lineRule="auto"/>
              <w:jc w:val="left"/>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极端枯水下黄河流域水资源系统韧性评价方法和提升模式研究</w:t>
            </w:r>
          </w:p>
        </w:tc>
        <w:tc>
          <w:tcPr>
            <w:tcW w:w="969"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万芳</w:t>
            </w:r>
          </w:p>
        </w:tc>
        <w:tc>
          <w:tcPr>
            <w:tcW w:w="4536"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华北水利水电大学</w:t>
            </w:r>
          </w:p>
        </w:tc>
        <w:tc>
          <w:tcPr>
            <w:tcW w:w="1843" w:type="dxa"/>
            <w:shd w:val="clear" w:color="auto" w:fill="auto"/>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58"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6</w:t>
            </w:r>
          </w:p>
        </w:tc>
        <w:tc>
          <w:tcPr>
            <w:tcW w:w="6561" w:type="dxa"/>
            <w:shd w:val="clear" w:color="auto" w:fill="auto"/>
          </w:tcPr>
          <w:p>
            <w:pPr>
              <w:spacing w:line="360" w:lineRule="auto"/>
              <w:jc w:val="left"/>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气候与下垫面协同变化下黄河上游径流响应及其不确定性研究</w:t>
            </w:r>
          </w:p>
        </w:tc>
        <w:tc>
          <w:tcPr>
            <w:tcW w:w="969"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唐雄朋</w:t>
            </w:r>
          </w:p>
        </w:tc>
        <w:tc>
          <w:tcPr>
            <w:tcW w:w="4536"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北京师范大学</w:t>
            </w:r>
          </w:p>
        </w:tc>
        <w:tc>
          <w:tcPr>
            <w:tcW w:w="1843" w:type="dxa"/>
            <w:shd w:val="clear" w:color="auto" w:fill="auto"/>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58"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7</w:t>
            </w:r>
          </w:p>
        </w:tc>
        <w:tc>
          <w:tcPr>
            <w:tcW w:w="6561" w:type="dxa"/>
            <w:shd w:val="clear" w:color="auto" w:fill="auto"/>
          </w:tcPr>
          <w:p>
            <w:pPr>
              <w:spacing w:line="360" w:lineRule="auto"/>
              <w:jc w:val="left"/>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黄河水沙调度数字孪生应用研究</w:t>
            </w:r>
            <w:r>
              <w:rPr>
                <w:rFonts w:ascii="Times New Roman" w:hAnsi="Times New Roman" w:eastAsia="宋体" w:cs="Times New Roman"/>
                <w:color w:val="000000"/>
                <w:kern w:val="0"/>
                <w:sz w:val="22"/>
              </w:rPr>
              <w:t>——</w:t>
            </w:r>
            <w:r>
              <w:rPr>
                <w:rFonts w:hint="eastAsia" w:ascii="宋体" w:hAnsi="Times New Roman" w:eastAsia="宋体" w:cs="宋体"/>
                <w:color w:val="000000"/>
                <w:kern w:val="0"/>
                <w:sz w:val="22"/>
              </w:rPr>
              <w:t>以气动冲沙场景为例</w:t>
            </w:r>
          </w:p>
        </w:tc>
        <w:tc>
          <w:tcPr>
            <w:tcW w:w="969"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缴健</w:t>
            </w:r>
          </w:p>
        </w:tc>
        <w:tc>
          <w:tcPr>
            <w:tcW w:w="4536"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南京水利科学研究院</w:t>
            </w:r>
          </w:p>
        </w:tc>
        <w:tc>
          <w:tcPr>
            <w:tcW w:w="1843" w:type="dxa"/>
            <w:shd w:val="clear" w:color="auto" w:fill="auto"/>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58"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8</w:t>
            </w:r>
          </w:p>
        </w:tc>
        <w:tc>
          <w:tcPr>
            <w:tcW w:w="6561" w:type="dxa"/>
            <w:shd w:val="clear" w:color="auto" w:fill="auto"/>
          </w:tcPr>
          <w:p>
            <w:pPr>
              <w:spacing w:line="360" w:lineRule="auto"/>
              <w:jc w:val="left"/>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黄河上游内蒙河段河槽萎缩累积的凌洪灾变机理研究</w:t>
            </w:r>
          </w:p>
        </w:tc>
        <w:tc>
          <w:tcPr>
            <w:tcW w:w="969"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申红彬</w:t>
            </w:r>
          </w:p>
        </w:tc>
        <w:tc>
          <w:tcPr>
            <w:tcW w:w="4536"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华北水利水电大学</w:t>
            </w:r>
          </w:p>
        </w:tc>
        <w:tc>
          <w:tcPr>
            <w:tcW w:w="1843" w:type="dxa"/>
            <w:shd w:val="clear" w:color="auto" w:fill="auto"/>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58"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9</w:t>
            </w:r>
          </w:p>
        </w:tc>
        <w:tc>
          <w:tcPr>
            <w:tcW w:w="6561" w:type="dxa"/>
            <w:shd w:val="clear" w:color="auto" w:fill="auto"/>
          </w:tcPr>
          <w:p>
            <w:pPr>
              <w:spacing w:line="360" w:lineRule="auto"/>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黄河中游区植被水资源承载力格局与变化研究</w:t>
            </w:r>
          </w:p>
        </w:tc>
        <w:tc>
          <w:tcPr>
            <w:tcW w:w="969"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李洪宇</w:t>
            </w:r>
          </w:p>
        </w:tc>
        <w:tc>
          <w:tcPr>
            <w:tcW w:w="4536"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中国地质调查局自然资源综合调查指挥中心</w:t>
            </w:r>
          </w:p>
        </w:tc>
        <w:tc>
          <w:tcPr>
            <w:tcW w:w="1843" w:type="dxa"/>
            <w:shd w:val="clear" w:color="auto" w:fill="auto"/>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58"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w:t>
            </w:r>
          </w:p>
        </w:tc>
        <w:tc>
          <w:tcPr>
            <w:tcW w:w="6561" w:type="dxa"/>
            <w:shd w:val="clear" w:color="auto" w:fill="auto"/>
          </w:tcPr>
          <w:p>
            <w:pPr>
              <w:spacing w:line="360" w:lineRule="auto"/>
              <w:jc w:val="left"/>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w:t>
            </w:r>
            <w:r>
              <w:rPr>
                <w:rFonts w:hint="eastAsia" w:ascii="宋体" w:hAnsi="Times New Roman" w:eastAsia="宋体" w:cs="宋体"/>
                <w:color w:val="000000"/>
                <w:kern w:val="0"/>
                <w:sz w:val="22"/>
              </w:rPr>
              <w:t>黄河几字湾</w:t>
            </w:r>
            <w:r>
              <w:rPr>
                <w:rFonts w:ascii="Times New Roman" w:hAnsi="Times New Roman" w:eastAsia="宋体" w:cs="Times New Roman"/>
                <w:color w:val="000000"/>
                <w:kern w:val="0"/>
                <w:sz w:val="22"/>
              </w:rPr>
              <w:t>”</w:t>
            </w:r>
            <w:r>
              <w:rPr>
                <w:rFonts w:hint="eastAsia" w:ascii="宋体" w:hAnsi="Times New Roman" w:eastAsia="宋体" w:cs="宋体"/>
                <w:color w:val="000000"/>
                <w:kern w:val="0"/>
                <w:sz w:val="22"/>
              </w:rPr>
              <w:t>地区水土资源互馈及协同优化调控</w:t>
            </w:r>
          </w:p>
        </w:tc>
        <w:tc>
          <w:tcPr>
            <w:tcW w:w="969"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于志磊</w:t>
            </w:r>
          </w:p>
        </w:tc>
        <w:tc>
          <w:tcPr>
            <w:tcW w:w="4536" w:type="dxa"/>
            <w:shd w:val="clear" w:color="auto" w:fill="auto"/>
            <w:noWrap/>
            <w:vAlign w:val="center"/>
          </w:tcPr>
          <w:p>
            <w:pPr>
              <w:widowControl/>
              <w:spacing w:line="360" w:lineRule="auto"/>
              <w:jc w:val="center"/>
              <w:rPr>
                <w:rFonts w:ascii="Times New Roman" w:hAnsi="Times New Roman" w:eastAsia="宋体" w:cs="Times New Roman"/>
                <w:color w:val="000000"/>
                <w:kern w:val="0"/>
                <w:sz w:val="22"/>
              </w:rPr>
            </w:pPr>
            <w:r>
              <w:rPr>
                <w:rFonts w:hint="eastAsia" w:ascii="宋体" w:hAnsi="Times New Roman" w:eastAsia="宋体" w:cs="宋体"/>
                <w:color w:val="000000"/>
                <w:kern w:val="0"/>
                <w:sz w:val="22"/>
              </w:rPr>
              <w:t>郑州大学</w:t>
            </w:r>
          </w:p>
        </w:tc>
        <w:tc>
          <w:tcPr>
            <w:tcW w:w="1843" w:type="dxa"/>
            <w:shd w:val="clear" w:color="auto" w:fill="auto"/>
            <w:vAlign w:val="center"/>
          </w:tcPr>
          <w:p>
            <w:pPr>
              <w:widowControl/>
              <w:spacing w:line="360" w:lineRule="auto"/>
              <w:jc w:val="center"/>
              <w:rPr>
                <w:rFonts w:ascii="Times New Roman" w:hAnsi="Times New Roman" w:eastAsia="宋体" w:cs="Times New Roman"/>
                <w:color w:val="000000"/>
                <w:kern w:val="0"/>
                <w:sz w:val="22"/>
              </w:rPr>
            </w:pPr>
            <w:r>
              <w:rPr>
                <w:rFonts w:ascii="Times New Roman" w:hAnsi="Times New Roman" w:eastAsia="宋体" w:cs="Times New Roman"/>
                <w:color w:val="000000"/>
                <w:kern w:val="0"/>
                <w:sz w:val="22"/>
              </w:rPr>
              <w:t>10.0</w:t>
            </w:r>
          </w:p>
        </w:tc>
      </w:tr>
    </w:tbl>
    <w:p>
      <w:pPr>
        <w:spacing w:line="480" w:lineRule="auto"/>
        <w:rPr>
          <w:rFonts w:ascii="Times New Roman" w:hAnsi="Times New Roman" w:eastAsia="仿宋_GB2312" w:cs="Times New Roman"/>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708E"/>
    <w:rsid w:val="00005212"/>
    <w:rsid w:val="000265EE"/>
    <w:rsid w:val="00030700"/>
    <w:rsid w:val="00037BED"/>
    <w:rsid w:val="000412B5"/>
    <w:rsid w:val="00066924"/>
    <w:rsid w:val="000C3C18"/>
    <w:rsid w:val="000C52AC"/>
    <w:rsid w:val="00103CEE"/>
    <w:rsid w:val="00130B6D"/>
    <w:rsid w:val="00185CD9"/>
    <w:rsid w:val="001A2059"/>
    <w:rsid w:val="001C4CF2"/>
    <w:rsid w:val="001C6C5C"/>
    <w:rsid w:val="001F4CDF"/>
    <w:rsid w:val="00232F6B"/>
    <w:rsid w:val="00233D73"/>
    <w:rsid w:val="00275D41"/>
    <w:rsid w:val="002A5171"/>
    <w:rsid w:val="002D4544"/>
    <w:rsid w:val="002E7600"/>
    <w:rsid w:val="00300B52"/>
    <w:rsid w:val="00306388"/>
    <w:rsid w:val="00314681"/>
    <w:rsid w:val="00320601"/>
    <w:rsid w:val="00365F7E"/>
    <w:rsid w:val="00393A56"/>
    <w:rsid w:val="003E4220"/>
    <w:rsid w:val="004040A4"/>
    <w:rsid w:val="0041657F"/>
    <w:rsid w:val="004521B4"/>
    <w:rsid w:val="004578B8"/>
    <w:rsid w:val="0046375F"/>
    <w:rsid w:val="004A0841"/>
    <w:rsid w:val="004D4534"/>
    <w:rsid w:val="005213E4"/>
    <w:rsid w:val="00535470"/>
    <w:rsid w:val="00597448"/>
    <w:rsid w:val="005A5AA0"/>
    <w:rsid w:val="005D1B87"/>
    <w:rsid w:val="005F2411"/>
    <w:rsid w:val="0060063A"/>
    <w:rsid w:val="00617664"/>
    <w:rsid w:val="00645616"/>
    <w:rsid w:val="00655DF0"/>
    <w:rsid w:val="00681252"/>
    <w:rsid w:val="006A463A"/>
    <w:rsid w:val="006B2E07"/>
    <w:rsid w:val="006D4EFE"/>
    <w:rsid w:val="006E1119"/>
    <w:rsid w:val="006E539B"/>
    <w:rsid w:val="0072556B"/>
    <w:rsid w:val="00735317"/>
    <w:rsid w:val="0073708E"/>
    <w:rsid w:val="00765B3A"/>
    <w:rsid w:val="007670D7"/>
    <w:rsid w:val="0077089E"/>
    <w:rsid w:val="007B44F9"/>
    <w:rsid w:val="007B6D07"/>
    <w:rsid w:val="007C5317"/>
    <w:rsid w:val="007E1E60"/>
    <w:rsid w:val="00820920"/>
    <w:rsid w:val="00825EC5"/>
    <w:rsid w:val="00830777"/>
    <w:rsid w:val="00871E7A"/>
    <w:rsid w:val="008A1F5F"/>
    <w:rsid w:val="008A6FFE"/>
    <w:rsid w:val="008A7EF2"/>
    <w:rsid w:val="008B492A"/>
    <w:rsid w:val="008D57B4"/>
    <w:rsid w:val="008D6A7E"/>
    <w:rsid w:val="008E4F9E"/>
    <w:rsid w:val="008F63E0"/>
    <w:rsid w:val="00907F52"/>
    <w:rsid w:val="00924A57"/>
    <w:rsid w:val="00926A14"/>
    <w:rsid w:val="00931A4E"/>
    <w:rsid w:val="00940F17"/>
    <w:rsid w:val="00954BD3"/>
    <w:rsid w:val="009927A3"/>
    <w:rsid w:val="009A43C9"/>
    <w:rsid w:val="009D4591"/>
    <w:rsid w:val="009D4B41"/>
    <w:rsid w:val="00A029CF"/>
    <w:rsid w:val="00A103BC"/>
    <w:rsid w:val="00A3252F"/>
    <w:rsid w:val="00A65A0C"/>
    <w:rsid w:val="00A67050"/>
    <w:rsid w:val="00A806C6"/>
    <w:rsid w:val="00AE5068"/>
    <w:rsid w:val="00AE5869"/>
    <w:rsid w:val="00B06988"/>
    <w:rsid w:val="00B16299"/>
    <w:rsid w:val="00B247EE"/>
    <w:rsid w:val="00B6569D"/>
    <w:rsid w:val="00B94457"/>
    <w:rsid w:val="00BB3033"/>
    <w:rsid w:val="00C12470"/>
    <w:rsid w:val="00C20D15"/>
    <w:rsid w:val="00C226AA"/>
    <w:rsid w:val="00C45AE5"/>
    <w:rsid w:val="00C74DF3"/>
    <w:rsid w:val="00C87A9A"/>
    <w:rsid w:val="00CA29D9"/>
    <w:rsid w:val="00CA767A"/>
    <w:rsid w:val="00D358BF"/>
    <w:rsid w:val="00D75E4D"/>
    <w:rsid w:val="00D86323"/>
    <w:rsid w:val="00D927AC"/>
    <w:rsid w:val="00DA0FDB"/>
    <w:rsid w:val="00DB52CF"/>
    <w:rsid w:val="00DD6E95"/>
    <w:rsid w:val="00DF1A7F"/>
    <w:rsid w:val="00DF1D81"/>
    <w:rsid w:val="00E2734C"/>
    <w:rsid w:val="00E30DCF"/>
    <w:rsid w:val="00E3106A"/>
    <w:rsid w:val="00E802FB"/>
    <w:rsid w:val="00E85E23"/>
    <w:rsid w:val="00EA3548"/>
    <w:rsid w:val="00EB1371"/>
    <w:rsid w:val="00EB6FB7"/>
    <w:rsid w:val="00EE0CC8"/>
    <w:rsid w:val="00F41B9C"/>
    <w:rsid w:val="00F55B50"/>
    <w:rsid w:val="00F85E0D"/>
    <w:rsid w:val="00F94879"/>
    <w:rsid w:val="00FA6C4D"/>
    <w:rsid w:val="00FB3037"/>
    <w:rsid w:val="00FC7E25"/>
    <w:rsid w:val="00FD15A4"/>
    <w:rsid w:val="00FF19AA"/>
    <w:rsid w:val="1E1C60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2"/>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unhideWhenUsed/>
    <w:uiPriority w:val="99"/>
    <w:rPr>
      <w:color w:val="0000FF" w:themeColor="hyperlink"/>
      <w:u w:val="single"/>
      <w14:textFill>
        <w14:solidFill>
          <w14:schemeClr w14:val="hlink"/>
        </w14:solidFill>
      </w14:textFill>
    </w:rPr>
  </w:style>
  <w:style w:type="character" w:customStyle="1" w:styleId="9">
    <w:name w:val="页眉 Char"/>
    <w:basedOn w:val="7"/>
    <w:link w:val="4"/>
    <w:uiPriority w:val="99"/>
    <w:rPr>
      <w:sz w:val="18"/>
      <w:szCs w:val="18"/>
    </w:rPr>
  </w:style>
  <w:style w:type="character" w:customStyle="1" w:styleId="10">
    <w:name w:val="页脚 Char"/>
    <w:basedOn w:val="7"/>
    <w:link w:val="3"/>
    <w:uiPriority w:val="99"/>
    <w:rPr>
      <w:sz w:val="18"/>
      <w:szCs w:val="18"/>
    </w:rPr>
  </w:style>
  <w:style w:type="paragraph" w:customStyle="1" w:styleId="11">
    <w:name w:val="Revision"/>
    <w:hidden/>
    <w:semiHidden/>
    <w:uiPriority w:val="99"/>
    <w:rPr>
      <w:rFonts w:asciiTheme="minorHAnsi" w:hAnsiTheme="minorHAnsi" w:eastAsiaTheme="minorEastAsia" w:cstheme="minorBidi"/>
      <w:kern w:val="2"/>
      <w:sz w:val="21"/>
      <w:szCs w:val="22"/>
      <w:lang w:val="en-US" w:eastAsia="zh-CN" w:bidi="ar-SA"/>
    </w:rPr>
  </w:style>
  <w:style w:type="character" w:customStyle="1" w:styleId="12">
    <w:name w:val="批注框文本 Char"/>
    <w:basedOn w:val="7"/>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FEE7B6-3EF0-4E38-BCE4-8442BEB6245E}">
  <ds:schemaRefs/>
</ds:datastoreItem>
</file>

<file path=docProps/app.xml><?xml version="1.0" encoding="utf-8"?>
<Properties xmlns="http://schemas.openxmlformats.org/officeDocument/2006/extended-properties" xmlns:vt="http://schemas.openxmlformats.org/officeDocument/2006/docPropsVTypes">
  <Template>Normal.dotm</Template>
  <Pages>1</Pages>
  <Words>144</Words>
  <Characters>824</Characters>
  <Lines>6</Lines>
  <Paragraphs>1</Paragraphs>
  <TotalTime>706</TotalTime>
  <ScaleCrop>false</ScaleCrop>
  <LinksUpToDate>false</LinksUpToDate>
  <CharactersWithSpaces>967</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2021-07-02T00:23:00Z</dcterms:created>
  <dc:creator>宋志宇</dc:creator>
  <cp:lastModifiedBy>wangyujing</cp:lastModifiedBy>
  <dcterms:modified xsi:type="dcterms:W3CDTF">2023-11-21T10:03:12Z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